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4F5EAE5" w:rsidR="006B2677" w:rsidRPr="007E1DFA" w:rsidRDefault="006E3E9D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¿En qué se parecen?</w:t>
            </w:r>
          </w:p>
        </w:tc>
      </w:tr>
      <w:tr w:rsidR="002A271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2A271E" w:rsidRPr="007E1DFA" w:rsidRDefault="002A271E" w:rsidP="002A271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952970E" w14:textId="77777777" w:rsidR="002A271E" w:rsidRDefault="002A271E" w:rsidP="002A27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Para esta actividad los materiales que se utilizarán son: cuadritos de cartulina, hoja en blanco o cartón de aproximadamente 3 x 3 cm, plumón o color, regla, lápiz, tijera.</w:t>
            </w:r>
          </w:p>
          <w:p w14:paraId="5079E035" w14:textId="0C9D3540" w:rsidR="002A271E" w:rsidRDefault="002A271E" w:rsidP="002A271E">
            <w:pPr>
              <w:jc w:val="both"/>
              <w:rPr>
                <w:lang w:val="es-ES"/>
              </w:rPr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formará grupos de números que tengan algo en común.</w:t>
            </w:r>
          </w:p>
          <w:p w14:paraId="6E9B2F36" w14:textId="1235203B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DF016C">
              <w:rPr>
                <w:lang w:val="es-ES"/>
              </w:rPr>
              <w:t>Lo</w:t>
            </w:r>
            <w:r>
              <w:rPr>
                <w:lang w:val="es-ES"/>
              </w:rPr>
              <w:t xml:space="preserve"> primero que</w:t>
            </w:r>
            <w:r w:rsidRPr="00DF016C">
              <w:rPr>
                <w:lang w:val="es-ES"/>
              </w:rPr>
              <w:t xml:space="preserve"> hará será </w:t>
            </w:r>
            <w:r w:rsidRPr="00DF016C">
              <w:rPr>
                <w:lang w:val="es-ES"/>
              </w:rPr>
              <w:t>realizar 100</w:t>
            </w:r>
            <w:r w:rsidRPr="00DF016C">
              <w:rPr>
                <w:lang w:val="es-ES"/>
              </w:rPr>
              <w:t xml:space="preserve"> cuadritos de papel o cartulina aproximadamente </w:t>
            </w:r>
            <w:r>
              <w:rPr>
                <w:lang w:val="es-ES"/>
              </w:rPr>
              <w:t>de 3 x 3 cm</w:t>
            </w:r>
            <w:r w:rsidRPr="00DF016C">
              <w:rPr>
                <w:lang w:val="es-ES"/>
              </w:rPr>
              <w:t xml:space="preserve">, puede ayudar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DF016C">
              <w:rPr>
                <w:lang w:val="es-ES"/>
              </w:rPr>
              <w:t xml:space="preserve">a trazar los cuadros y cortarlos. </w:t>
            </w:r>
          </w:p>
          <w:p w14:paraId="526F2247" w14:textId="4855E1E1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415280">
              <w:rPr>
                <w:lang w:val="es-ES"/>
              </w:rPr>
              <w:t>P</w:t>
            </w:r>
            <w:r>
              <w:rPr>
                <w:lang w:val="es-ES"/>
              </w:rPr>
              <w:t>osteriormente</w:t>
            </w:r>
            <w:r w:rsidRPr="00415280">
              <w:rPr>
                <w:lang w:val="es-ES"/>
              </w:rPr>
              <w:t xml:space="preserve"> p</w:t>
            </w:r>
            <w:r>
              <w:rPr>
                <w:lang w:val="es-ES"/>
              </w:rPr>
              <w:t>ida</w:t>
            </w:r>
            <w:r w:rsidRPr="00415280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415280">
              <w:rPr>
                <w:lang w:val="es-ES"/>
              </w:rPr>
              <w:t>que escriba en cada cuadro los números del 1 al</w:t>
            </w:r>
            <w:r>
              <w:rPr>
                <w:lang w:val="es-ES"/>
              </w:rPr>
              <w:t xml:space="preserve"> 100 (un número en cada cuadro)</w:t>
            </w:r>
          </w:p>
          <w:p w14:paraId="0C82DAC8" w14:textId="61080800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Pida</w:t>
            </w:r>
            <w:r w:rsidRPr="00415280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415280">
              <w:rPr>
                <w:lang w:val="es-ES"/>
              </w:rPr>
              <w:t>que escoja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cualquier número</w:t>
            </w:r>
            <w:r>
              <w:rPr>
                <w:lang w:val="es-ES"/>
              </w:rPr>
              <w:t xml:space="preserve"> del 1 al 10</w:t>
            </w:r>
            <w:r w:rsidRPr="00415280">
              <w:rPr>
                <w:lang w:val="es-ES"/>
              </w:rPr>
              <w:t>.</w:t>
            </w:r>
          </w:p>
          <w:p w14:paraId="130FEE18" w14:textId="6D32FB5D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415280">
              <w:rPr>
                <w:lang w:val="es-ES"/>
              </w:rPr>
              <w:t xml:space="preserve"> </w:t>
            </w:r>
            <w:r>
              <w:rPr>
                <w:lang w:val="es-ES"/>
              </w:rPr>
              <w:t>Pida a</w:t>
            </w:r>
            <w:r>
              <w:t xml:space="preserve">l estudiante </w:t>
            </w:r>
            <w:r w:rsidRPr="00415280">
              <w:rPr>
                <w:lang w:val="es-ES"/>
              </w:rPr>
              <w:t xml:space="preserve">que busque entre todos los números que tiene </w:t>
            </w:r>
            <w:r w:rsidRPr="00415280">
              <w:rPr>
                <w:lang w:val="es-ES"/>
              </w:rPr>
              <w:t>ahí</w:t>
            </w:r>
            <w:r>
              <w:rPr>
                <w:lang w:val="es-ES"/>
              </w:rPr>
              <w:t xml:space="preserve">, </w:t>
            </w:r>
            <w:r w:rsidRPr="00415280">
              <w:rPr>
                <w:lang w:val="es-ES"/>
              </w:rPr>
              <w:t>los</w:t>
            </w:r>
            <w:r w:rsidRPr="00415280">
              <w:rPr>
                <w:lang w:val="es-ES"/>
              </w:rPr>
              <w:t xml:space="preserve"> que terminen con el número que escogió, ejemplo: si escogió el 2 tendrá</w:t>
            </w:r>
            <w:r>
              <w:rPr>
                <w:lang w:val="es-ES"/>
              </w:rPr>
              <w:t xml:space="preserve"> </w:t>
            </w:r>
            <w:r w:rsidRPr="00415280">
              <w:rPr>
                <w:lang w:val="es-ES"/>
              </w:rPr>
              <w:t xml:space="preserve">que buscar el 12, el 22, el 32, el 42 etc. </w:t>
            </w:r>
          </w:p>
          <w:p w14:paraId="652DD47A" w14:textId="2A554603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15280">
              <w:rPr>
                <w:lang w:val="es-ES"/>
              </w:rPr>
              <w:t>erminando de seleccion</w:t>
            </w:r>
            <w:r>
              <w:rPr>
                <w:lang w:val="es-ES"/>
              </w:rPr>
              <w:t>ar los números pregunte a</w:t>
            </w:r>
            <w:r>
              <w:t>l estudiante</w:t>
            </w:r>
            <w:r>
              <w:rPr>
                <w:lang w:val="es-ES"/>
              </w:rPr>
              <w:t>: ¿En qué</w:t>
            </w:r>
            <w:r w:rsidRPr="00415280">
              <w:rPr>
                <w:lang w:val="es-ES"/>
              </w:rPr>
              <w:t xml:space="preserve"> se parece?</w:t>
            </w:r>
            <w:r>
              <w:rPr>
                <w:lang w:val="es-ES"/>
              </w:rPr>
              <w:t xml:space="preserve">, </w:t>
            </w:r>
            <w:r w:rsidRPr="00A91060">
              <w:rPr>
                <w:lang w:val="es-ES"/>
              </w:rPr>
              <w:t>¿En qué son diferentes?</w:t>
            </w:r>
            <w:r>
              <w:rPr>
                <w:lang w:val="es-ES"/>
              </w:rPr>
              <w:t xml:space="preserve"> </w:t>
            </w:r>
          </w:p>
          <w:p w14:paraId="2A3D2A48" w14:textId="162EECF6" w:rsidR="002A271E" w:rsidRPr="00A91060" w:rsidRDefault="002A271E" w:rsidP="002A271E">
            <w:pPr>
              <w:pStyle w:val="Prrafodelista"/>
              <w:ind w:left="360"/>
              <w:jc w:val="both"/>
              <w:rPr>
                <w:lang w:val="es-ES"/>
              </w:rPr>
            </w:pPr>
            <w:r w:rsidRPr="00A91060">
              <w:rPr>
                <w:lang w:val="es-ES"/>
              </w:rPr>
              <w:t xml:space="preserve">Para que </w:t>
            </w:r>
            <w:r>
              <w:rPr>
                <w:lang w:val="es-ES"/>
              </w:rPr>
              <w:t>e</w:t>
            </w:r>
            <w:r>
              <w:t xml:space="preserve">l estudiante </w:t>
            </w:r>
            <w:r w:rsidRPr="00A91060">
              <w:rPr>
                <w:lang w:val="es-ES"/>
              </w:rPr>
              <w:t>se dé cuenta de los patrones que se pueden ir formando con estos números.</w:t>
            </w:r>
          </w:p>
          <w:p w14:paraId="078BDD75" w14:textId="77777777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Pídale </w:t>
            </w:r>
            <w:r w:rsidRPr="00415280">
              <w:rPr>
                <w:lang w:val="es-ES"/>
              </w:rPr>
              <w:t xml:space="preserve">que en su libreta o en una hoja en blanco escriba </w:t>
            </w:r>
            <w:r>
              <w:rPr>
                <w:lang w:val="es-ES"/>
              </w:rPr>
              <w:t xml:space="preserve">los números </w:t>
            </w:r>
            <w:r w:rsidRPr="00415280">
              <w:rPr>
                <w:lang w:val="es-ES"/>
              </w:rPr>
              <w:t>de menor a mayor.</w:t>
            </w:r>
          </w:p>
          <w:p w14:paraId="1BBB880E" w14:textId="7C315A29" w:rsid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 w:rsidRPr="00415280">
              <w:rPr>
                <w:lang w:val="es-ES"/>
              </w:rPr>
              <w:t xml:space="preserve">De esta misma forma </w:t>
            </w:r>
            <w:r>
              <w:rPr>
                <w:lang w:val="es-ES"/>
              </w:rPr>
              <w:t>puede ir trabajando uno por uno</w:t>
            </w:r>
            <w:r w:rsidRPr="00415280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r w:rsidRPr="00415280">
              <w:rPr>
                <w:lang w:val="es-ES"/>
              </w:rPr>
              <w:t>con los demás números es decir los que terminan con 3,</w:t>
            </w:r>
            <w:r>
              <w:rPr>
                <w:lang w:val="es-ES"/>
              </w:rPr>
              <w:t xml:space="preserve"> </w:t>
            </w:r>
            <w:r w:rsidRPr="00415280">
              <w:rPr>
                <w:lang w:val="es-ES"/>
              </w:rPr>
              <w:t>4,</w:t>
            </w:r>
            <w:r>
              <w:rPr>
                <w:lang w:val="es-ES"/>
              </w:rPr>
              <w:t xml:space="preserve"> </w:t>
            </w:r>
            <w:r w:rsidRPr="00415280">
              <w:rPr>
                <w:lang w:val="es-ES"/>
              </w:rPr>
              <w:t>5, etc</w:t>
            </w:r>
            <w:r>
              <w:rPr>
                <w:lang w:val="es-ES"/>
              </w:rPr>
              <w:t>.</w:t>
            </w:r>
            <w:r w:rsidRPr="00415280">
              <w:rPr>
                <w:lang w:val="es-ES"/>
              </w:rPr>
              <w:t xml:space="preserve">  para </w:t>
            </w:r>
            <w:r w:rsidRPr="00415280">
              <w:rPr>
                <w:lang w:val="es-ES"/>
              </w:rPr>
              <w:t>observar los</w:t>
            </w:r>
            <w:r w:rsidRPr="00415280">
              <w:rPr>
                <w:lang w:val="es-ES"/>
              </w:rPr>
              <w:t xml:space="preserve"> patrones que se van formando con los números. Y a su vez refuerza las centenas.</w:t>
            </w:r>
          </w:p>
          <w:p w14:paraId="4A0998F5" w14:textId="68ADF9B0" w:rsidR="002A271E" w:rsidRPr="002A271E" w:rsidRDefault="002A271E" w:rsidP="002A271E">
            <w:pPr>
              <w:pStyle w:val="Prrafodelista"/>
              <w:numPr>
                <w:ilvl w:val="0"/>
                <w:numId w:val="50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Guarde </w:t>
            </w:r>
            <w:r>
              <w:t>este material en un bote o caja para que les pueda volver a servir en cualquier actividad que lo requiera.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66EEF647" w:rsidR="005F2F9E" w:rsidRPr="006C106D" w:rsidRDefault="002A271E" w:rsidP="00120268">
            <w:pPr>
              <w:rPr>
                <w:lang w:val="es-ES"/>
              </w:rPr>
            </w:pPr>
            <w:r>
              <w:rPr>
                <w:lang w:val="es-ES"/>
              </w:rPr>
              <w:t xml:space="preserve">El estudiante </w:t>
            </w:r>
            <w:r>
              <w:rPr>
                <w:lang w:val="es-ES"/>
              </w:rPr>
              <w:t xml:space="preserve">deberá </w:t>
            </w:r>
            <w:r w:rsidRPr="000C30F6">
              <w:rPr>
                <w:lang w:val="es-ES"/>
              </w:rPr>
              <w:t>ser capaz de</w:t>
            </w:r>
            <w:r>
              <w:rPr>
                <w:lang w:val="es-ES"/>
              </w:rPr>
              <w:t xml:space="preserve"> identificar y </w:t>
            </w:r>
            <w:r w:rsidRPr="000C30F6">
              <w:rPr>
                <w:lang w:val="es-ES"/>
              </w:rPr>
              <w:t xml:space="preserve">ordenar </w:t>
            </w:r>
            <w:r>
              <w:rPr>
                <w:lang w:val="es-ES"/>
              </w:rPr>
              <w:t xml:space="preserve"> números que terminan igual. 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E749" w14:textId="77777777" w:rsidR="00712457" w:rsidRDefault="00712457" w:rsidP="00E44F6A">
      <w:pPr>
        <w:spacing w:after="0" w:line="240" w:lineRule="auto"/>
      </w:pPr>
      <w:r>
        <w:separator/>
      </w:r>
    </w:p>
  </w:endnote>
  <w:endnote w:type="continuationSeparator" w:id="0">
    <w:p w14:paraId="1BEF8260" w14:textId="77777777" w:rsidR="00712457" w:rsidRDefault="00712457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AF2E" w14:textId="77777777" w:rsidR="00712457" w:rsidRDefault="00712457" w:rsidP="00E44F6A">
      <w:pPr>
        <w:spacing w:after="0" w:line="240" w:lineRule="auto"/>
      </w:pPr>
      <w:r>
        <w:separator/>
      </w:r>
    </w:p>
  </w:footnote>
  <w:footnote w:type="continuationSeparator" w:id="0">
    <w:p w14:paraId="77042E2C" w14:textId="77777777" w:rsidR="00712457" w:rsidRDefault="00712457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4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5"/>
  </w:num>
  <w:num w:numId="5" w16cid:durableId="1448348555">
    <w:abstractNumId w:val="48"/>
  </w:num>
  <w:num w:numId="6" w16cid:durableId="1978997209">
    <w:abstractNumId w:val="12"/>
  </w:num>
  <w:num w:numId="7" w16cid:durableId="1160198188">
    <w:abstractNumId w:val="22"/>
  </w:num>
  <w:num w:numId="8" w16cid:durableId="423843635">
    <w:abstractNumId w:val="9"/>
  </w:num>
  <w:num w:numId="9" w16cid:durableId="564025328">
    <w:abstractNumId w:val="44"/>
  </w:num>
  <w:num w:numId="10" w16cid:durableId="876699141">
    <w:abstractNumId w:val="18"/>
  </w:num>
  <w:num w:numId="11" w16cid:durableId="96679073">
    <w:abstractNumId w:val="23"/>
  </w:num>
  <w:num w:numId="12" w16cid:durableId="674573395">
    <w:abstractNumId w:val="20"/>
  </w:num>
  <w:num w:numId="13" w16cid:durableId="1313100981">
    <w:abstractNumId w:val="10"/>
  </w:num>
  <w:num w:numId="14" w16cid:durableId="1392344015">
    <w:abstractNumId w:val="26"/>
  </w:num>
  <w:num w:numId="15" w16cid:durableId="1705669174">
    <w:abstractNumId w:val="49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38"/>
  </w:num>
  <w:num w:numId="19" w16cid:durableId="295764248">
    <w:abstractNumId w:val="2"/>
  </w:num>
  <w:num w:numId="20" w16cid:durableId="1851219464">
    <w:abstractNumId w:val="31"/>
  </w:num>
  <w:num w:numId="21" w16cid:durableId="1961183694">
    <w:abstractNumId w:val="7"/>
  </w:num>
  <w:num w:numId="22" w16cid:durableId="588660857">
    <w:abstractNumId w:val="29"/>
  </w:num>
  <w:num w:numId="23" w16cid:durableId="1189176109">
    <w:abstractNumId w:val="43"/>
  </w:num>
  <w:num w:numId="24" w16cid:durableId="636689836">
    <w:abstractNumId w:val="32"/>
  </w:num>
  <w:num w:numId="25" w16cid:durableId="56364120">
    <w:abstractNumId w:val="19"/>
  </w:num>
  <w:num w:numId="26" w16cid:durableId="1943605266">
    <w:abstractNumId w:val="1"/>
  </w:num>
  <w:num w:numId="27" w16cid:durableId="1894002706">
    <w:abstractNumId w:val="41"/>
  </w:num>
  <w:num w:numId="28" w16cid:durableId="817381816">
    <w:abstractNumId w:val="47"/>
  </w:num>
  <w:num w:numId="29" w16cid:durableId="2031292344">
    <w:abstractNumId w:val="39"/>
  </w:num>
  <w:num w:numId="30" w16cid:durableId="916672764">
    <w:abstractNumId w:val="33"/>
  </w:num>
  <w:num w:numId="31" w16cid:durableId="312148725">
    <w:abstractNumId w:val="17"/>
  </w:num>
  <w:num w:numId="32" w16cid:durableId="1184058004">
    <w:abstractNumId w:val="42"/>
  </w:num>
  <w:num w:numId="33" w16cid:durableId="495151172">
    <w:abstractNumId w:val="36"/>
  </w:num>
  <w:num w:numId="34" w16cid:durableId="684475036">
    <w:abstractNumId w:val="46"/>
  </w:num>
  <w:num w:numId="35" w16cid:durableId="1788741511">
    <w:abstractNumId w:val="40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4"/>
  </w:num>
  <w:num w:numId="39" w16cid:durableId="1410881202">
    <w:abstractNumId w:val="27"/>
  </w:num>
  <w:num w:numId="40" w16cid:durableId="2081321631">
    <w:abstractNumId w:val="24"/>
  </w:num>
  <w:num w:numId="41" w16cid:durableId="1398898327">
    <w:abstractNumId w:val="37"/>
  </w:num>
  <w:num w:numId="42" w16cid:durableId="1962609848">
    <w:abstractNumId w:val="35"/>
  </w:num>
  <w:num w:numId="43" w16cid:durableId="1161887788">
    <w:abstractNumId w:val="25"/>
  </w:num>
  <w:num w:numId="44" w16cid:durableId="935401680">
    <w:abstractNumId w:val="28"/>
  </w:num>
  <w:num w:numId="45" w16cid:durableId="1541556725">
    <w:abstractNumId w:val="4"/>
  </w:num>
  <w:num w:numId="46" w16cid:durableId="1038822185">
    <w:abstractNumId w:val="30"/>
  </w:num>
  <w:num w:numId="47" w16cid:durableId="1172841054">
    <w:abstractNumId w:val="21"/>
  </w:num>
  <w:num w:numId="48" w16cid:durableId="1663697531">
    <w:abstractNumId w:val="16"/>
  </w:num>
  <w:num w:numId="49" w16cid:durableId="38281273">
    <w:abstractNumId w:val="13"/>
  </w:num>
  <w:num w:numId="50" w16cid:durableId="926039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5C07"/>
    <w:rsid w:val="00410FA3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12457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2023-08-28T18:09:00Z</dcterms:created>
  <dcterms:modified xsi:type="dcterms:W3CDTF">2023-08-28T18:11:00Z</dcterms:modified>
</cp:coreProperties>
</file>